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FA" w:rsidRDefault="00504DFA" w:rsidP="00504DFA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Подробнее о Досье контрагента</w:t>
      </w:r>
      <w:bookmarkStart w:id="0" w:name="_GoBack"/>
      <w:bookmarkEnd w:id="0"/>
    </w:p>
    <w:p w:rsidR="00FC088A" w:rsidRPr="00504DFA" w:rsidRDefault="00FC088A" w:rsidP="00FC088A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4DFA">
        <w:rPr>
          <w:rFonts w:ascii="Verdana" w:eastAsia="Times New Roman" w:hAnsi="Verdana" w:cs="Times New Roman"/>
          <w:sz w:val="21"/>
          <w:szCs w:val="21"/>
          <w:lang w:eastAsia="ru-RU"/>
        </w:rPr>
        <w:t>Форма отчета </w:t>
      </w:r>
      <w:r w:rsidRPr="00504DFA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Досье контрагента</w:t>
      </w:r>
      <w:r w:rsidRPr="00504DFA">
        <w:rPr>
          <w:rFonts w:ascii="Verdana" w:eastAsia="Times New Roman" w:hAnsi="Verdana" w:cs="Times New Roman"/>
          <w:sz w:val="21"/>
          <w:szCs w:val="21"/>
          <w:lang w:eastAsia="ru-RU"/>
        </w:rPr>
        <w:t> для юридического лица состоит из следующих разделов:</w:t>
      </w:r>
    </w:p>
    <w:p w:rsidR="00FC088A" w:rsidRPr="00504DFA" w:rsidRDefault="00FC088A" w:rsidP="00F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4DFA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Главное;</w:t>
      </w:r>
    </w:p>
    <w:p w:rsidR="00FC088A" w:rsidRPr="00504DFA" w:rsidRDefault="00FC088A" w:rsidP="00F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4DFA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ЕГРЮЛ;</w:t>
      </w:r>
    </w:p>
    <w:p w:rsidR="00FC088A" w:rsidRPr="00504DFA" w:rsidRDefault="00FC088A" w:rsidP="00504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6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4DFA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Данные программы;</w:t>
      </w:r>
    </w:p>
    <w:p w:rsidR="00FC088A" w:rsidRPr="00504DFA" w:rsidRDefault="00FC088A" w:rsidP="00F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4DFA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Бухгалтерская отчетность;</w:t>
      </w:r>
    </w:p>
    <w:p w:rsidR="00FC088A" w:rsidRPr="00504DFA" w:rsidRDefault="00FC088A" w:rsidP="00F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4DFA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Анализ отчетности;</w:t>
      </w:r>
    </w:p>
    <w:p w:rsidR="00FC088A" w:rsidRPr="00504DFA" w:rsidRDefault="00FC088A" w:rsidP="00F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4DFA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Финансовый анализ.</w:t>
      </w:r>
    </w:p>
    <w:p w:rsidR="00FC088A" w:rsidRPr="00504DFA" w:rsidRDefault="00FC088A" w:rsidP="00FC088A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4DFA">
        <w:rPr>
          <w:rFonts w:ascii="Verdana" w:eastAsia="Times New Roman" w:hAnsi="Verdana" w:cs="Times New Roman"/>
          <w:sz w:val="21"/>
          <w:szCs w:val="21"/>
          <w:lang w:eastAsia="ru-RU"/>
        </w:rPr>
        <w:t>При проверке обособленных подразделений выводится отчет по головной организации. Если Досье контрагента формируется по индивидуальному предпринимателю, то в отчете отражаются только сведения из ЕГРИП и данные программы.</w:t>
      </w:r>
    </w:p>
    <w:p w:rsidR="00FC088A" w:rsidRPr="00504DFA" w:rsidRDefault="00FC088A" w:rsidP="00FC088A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4DFA">
        <w:rPr>
          <w:rFonts w:ascii="Verdana" w:eastAsia="Times New Roman" w:hAnsi="Verdana" w:cs="Times New Roman"/>
          <w:sz w:val="21"/>
          <w:szCs w:val="21"/>
          <w:lang w:eastAsia="ru-RU"/>
        </w:rPr>
        <w:t>Обратите внимание! Отчет, полученный с помощью </w:t>
      </w:r>
      <w:r w:rsidRPr="00504DFA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Досье контрагента</w:t>
      </w:r>
      <w:r w:rsidRPr="00504DFA">
        <w:rPr>
          <w:rFonts w:ascii="Verdana" w:eastAsia="Times New Roman" w:hAnsi="Verdana" w:cs="Times New Roman"/>
          <w:sz w:val="21"/>
          <w:szCs w:val="21"/>
          <w:lang w:eastAsia="ru-RU"/>
        </w:rPr>
        <w:t>, не сохраняется в программе. Его можно сохранить в формате MXL и распечатать.</w:t>
      </w:r>
    </w:p>
    <w:p w:rsidR="00FC088A" w:rsidRPr="00FC088A" w:rsidRDefault="00FC088A" w:rsidP="00FC088A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</w:pPr>
    </w:p>
    <w:p w:rsidR="00FC088A" w:rsidRPr="00FC088A" w:rsidRDefault="00FC088A" w:rsidP="00FC088A">
      <w:pPr>
        <w:spacing w:after="75" w:line="240" w:lineRule="auto"/>
        <w:outlineLvl w:val="1"/>
        <w:rPr>
          <w:rFonts w:ascii="futura_pt_demi_reg" w:eastAsia="Times New Roman" w:hAnsi="futura_pt_demi_reg" w:cs="Times New Roman"/>
          <w:sz w:val="30"/>
          <w:szCs w:val="30"/>
          <w:lang w:eastAsia="ru-RU"/>
        </w:rPr>
      </w:pPr>
      <w:bookmarkStart w:id="1" w:name="briefly_44760"/>
      <w:bookmarkEnd w:id="1"/>
      <w:r w:rsidRPr="00FC088A">
        <w:rPr>
          <w:rFonts w:ascii="futura_pt_demi_reg" w:eastAsia="Times New Roman" w:hAnsi="futura_pt_demi_reg" w:cs="Times New Roman"/>
          <w:sz w:val="30"/>
          <w:szCs w:val="30"/>
          <w:lang w:eastAsia="ru-RU"/>
        </w:rPr>
        <w:t>Раздел «Главное»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 </w:t>
      </w: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 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1) отображается собранная из других разделов сводная информация о контрагенте: общие сведения о контрагенте из ЕГРЮЛ, основные показатели бухгалтерской отчетности по данным Росстата, а также вероятностная оценка риска банкротства и кредитоспособности контрагента, сформированная на основании выполненного анализа отчетности.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6575" cy="5279419"/>
            <wp:effectExtent l="0" t="0" r="0" b="0"/>
            <wp:docPr id="7" name="Рисунок 7" descr="Рис. 1. Раздел «Главно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Раздел «Главно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5" cy="528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1. Раздел Главное</w:t>
      </w:r>
    </w:p>
    <w:p w:rsidR="00FC088A" w:rsidRPr="00FC088A" w:rsidRDefault="00FC088A" w:rsidP="00FC088A">
      <w:pPr>
        <w:spacing w:after="75" w:line="240" w:lineRule="auto"/>
        <w:outlineLvl w:val="1"/>
        <w:rPr>
          <w:rFonts w:ascii="futura_pt_demi_reg" w:eastAsia="Times New Roman" w:hAnsi="futura_pt_demi_reg" w:cs="Times New Roman"/>
          <w:sz w:val="30"/>
          <w:szCs w:val="30"/>
          <w:lang w:eastAsia="ru-RU"/>
        </w:rPr>
      </w:pPr>
      <w:bookmarkStart w:id="2" w:name="briefly_44761"/>
      <w:bookmarkEnd w:id="2"/>
      <w:r w:rsidRPr="00FC088A">
        <w:rPr>
          <w:rFonts w:ascii="futura_pt_demi_reg" w:eastAsia="Times New Roman" w:hAnsi="futura_pt_demi_reg" w:cs="Times New Roman"/>
          <w:sz w:val="30"/>
          <w:szCs w:val="30"/>
          <w:lang w:eastAsia="ru-RU"/>
        </w:rPr>
        <w:lastRenderedPageBreak/>
        <w:t>Сведения из ЕГРЮЛ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ЕГРЮЛ являются источником полезной информации, которую можно использовать для оценки надежности контрагентов (например, данные о «массовости» юридического адреса или «массовости» руководителя).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 </w:t>
      </w: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ЕГРЮЛ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 2) выводятся все реквизиты организации контрагента в объеме выписки из ЕГРЮЛ, включая связанную информацию: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 полное наименование контрагента;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в ФНС, ПФР, ФСС, в том числе статус организации контрагента (действующая, находится в стадии реорганизации, закрыта, причина закрытия и т.д.);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ОГРН, КПП;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по ОКВЭД;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лицензий;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включая список других организаций, зарегистрированных по этому адресу;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руководителя, наименование должности, дата назначения, а также список других организаций, где данное лицо является руководителем или учредителем (участником), в том числе статусы этих организаций;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учрежденные организацией-контрагентом компании, доли в этих компаниях;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уставного капитала организации контрагента;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учредителей (участников) организации контрагента, доли уставного капитала, а также список других организаций, где данные учредители также являются учредителями (участниками), в том числе статусы этих организаций;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филиалов и представительств;</w:t>
      </w:r>
    </w:p>
    <w:p w:rsidR="00FC088A" w:rsidRPr="00FC088A" w:rsidRDefault="00FC088A" w:rsidP="00FC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внесения изменений в ЕГРЮЛ.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Кликнув на название связанной организации в отчете, можно получить соответствующее досье. ФИО физических лиц также являются ссылками. Если у физического лица указан ИНН, и оно является </w:t>
      </w:r>
      <w:proofErr w:type="spellStart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индпредпринимателем</w:t>
      </w:r>
      <w:proofErr w:type="spellEnd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 ссылке открывается досье. Если у физического лица, по которому выводится связанная информация, отсутствует ИНН, то программа проводит поиск по ФИО в базе ЕГРЮЛ и информирует пользователя о результатах.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65645" cy="4740910"/>
            <wp:effectExtent l="0" t="0" r="1905" b="2540"/>
            <wp:docPr id="6" name="Рисунок 6" descr="Рис. 2. Сведения из ЕГРЮ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Сведения из ЕГРЮ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28" cy="476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Сведения из ЕГРЮЛ</w:t>
      </w:r>
    </w:p>
    <w:p w:rsidR="00FC088A" w:rsidRPr="00FC088A" w:rsidRDefault="00FC088A" w:rsidP="00FC088A">
      <w:pPr>
        <w:spacing w:after="75" w:line="240" w:lineRule="auto"/>
        <w:outlineLvl w:val="1"/>
        <w:rPr>
          <w:rFonts w:ascii="futura_pt_demi_reg" w:eastAsia="Times New Roman" w:hAnsi="futura_pt_demi_reg" w:cs="Times New Roman"/>
          <w:sz w:val="30"/>
          <w:szCs w:val="30"/>
          <w:lang w:eastAsia="ru-RU"/>
        </w:rPr>
      </w:pPr>
      <w:bookmarkStart w:id="3" w:name="briefly_44762"/>
      <w:bookmarkEnd w:id="3"/>
      <w:r w:rsidRPr="00FC088A">
        <w:rPr>
          <w:rFonts w:ascii="futura_pt_demi_reg" w:eastAsia="Times New Roman" w:hAnsi="futura_pt_demi_reg" w:cs="Times New Roman"/>
          <w:sz w:val="30"/>
          <w:szCs w:val="30"/>
          <w:lang w:eastAsia="ru-RU"/>
        </w:rPr>
        <w:t>Сведения о контрагенте, хранящиеся в программе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или ИП, по которому сформировано досье, содержится в справочнике контрагентов, то в разделе </w:t>
      </w: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программы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выводится информация по этому контрагенту, внесенная в информационную базу (рис. 3):</w:t>
      </w:r>
    </w:p>
    <w:p w:rsidR="00FC088A" w:rsidRPr="00FC088A" w:rsidRDefault="00FC088A" w:rsidP="00FC08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FC088A" w:rsidRPr="00FC088A" w:rsidRDefault="00FC088A" w:rsidP="00FC08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реквизиты;</w:t>
      </w:r>
    </w:p>
    <w:p w:rsidR="00FC088A" w:rsidRPr="00FC088A" w:rsidRDefault="00FC088A" w:rsidP="00FC08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юридический, почтовый и фактический адреса;</w:t>
      </w:r>
    </w:p>
    <w:p w:rsidR="00FC088A" w:rsidRPr="00FC088A" w:rsidRDefault="00FC088A" w:rsidP="00FC08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лица;</w:t>
      </w:r>
    </w:p>
    <w:p w:rsidR="00FC088A" w:rsidRPr="00FC088A" w:rsidRDefault="00FC088A" w:rsidP="00FC08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счета;</w:t>
      </w:r>
    </w:p>
    <w:p w:rsidR="00FC088A" w:rsidRPr="00FC088A" w:rsidRDefault="00FC088A" w:rsidP="00FC08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и т.д.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досье сведения о контрагенте, содержащиеся в программе, автоматически сверяются с данными ЕГРЮЛ. В случае расхождений программа сообщит о них. Это позволит пользователю скорректировать сведения о контрагенте в учетной системе. Если контрагент отсутствует в информационной базе, то в разделе </w:t>
      </w: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программы 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 соответствующее сообщение, а в командную панель будет выведена кнопка </w:t>
      </w:r>
      <w:proofErr w:type="gramStart"/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Добавить</w:t>
      </w:r>
      <w:proofErr w:type="gramEnd"/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справочник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450" cy="4753919"/>
            <wp:effectExtent l="0" t="0" r="0" b="8890"/>
            <wp:docPr id="5" name="Рисунок 5" descr="Рис. 3. Сведения о контрагенте по данным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 Сведения о контрагенте по данным програм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11" cy="47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3. Сведения о контрагенте по данным программы</w:t>
      </w:r>
    </w:p>
    <w:p w:rsidR="00FC088A" w:rsidRPr="00FC088A" w:rsidRDefault="00FC088A" w:rsidP="00FC088A">
      <w:pPr>
        <w:spacing w:after="75" w:line="240" w:lineRule="auto"/>
        <w:outlineLvl w:val="1"/>
        <w:rPr>
          <w:rFonts w:ascii="futura_pt_demi_reg" w:eastAsia="Times New Roman" w:hAnsi="futura_pt_demi_reg" w:cs="Times New Roman"/>
          <w:sz w:val="30"/>
          <w:szCs w:val="30"/>
          <w:lang w:eastAsia="ru-RU"/>
        </w:rPr>
      </w:pPr>
      <w:bookmarkStart w:id="4" w:name="briefly_44763"/>
      <w:bookmarkEnd w:id="4"/>
      <w:r w:rsidRPr="00FC088A">
        <w:rPr>
          <w:rFonts w:ascii="futura_pt_demi_reg" w:eastAsia="Times New Roman" w:hAnsi="futura_pt_demi_reg" w:cs="Times New Roman"/>
          <w:sz w:val="30"/>
          <w:szCs w:val="30"/>
          <w:lang w:eastAsia="ru-RU"/>
        </w:rPr>
        <w:t>Бухгалтерская отчетность по данным Росстата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 является открытой для пользователей – учредителей (участников), инвесторов, кредитных организаций, кредиторов, покупателей, поставщиков и др. Организация должна обеспечить возможность ознакомиться с бухгалтерской отчетностью. (п. 42 ПБУ 4/99 «Бухгалтерская отчетность организации»). </w:t>
      </w: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Досье контрагента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получить и проанализировать бухгалтерскую отчетность российских организаций за 2012 и 2013 годы по данным базы Росстата.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 </w:t>
      </w: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Бухгалтерская отчетность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попадает вся имеющаяся в базе Росстата отчетность контрагентов (рис. 4), в том числе отчетность субъектов малого предпринимательства (МП) и социально ориентированных некоммерческих организаций (СО НКО). В этот же раздел попадает расчет чистых активов, автоматически выполненный программой согласно Порядку, утвержденному Приказом Минфина РФ от 28 августа 2014 г. № 84н. Чистые активы определяются по данным бухгалтерской отчетности («ненулевой»), представленной за последние три года.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53275" cy="8073109"/>
            <wp:effectExtent l="0" t="0" r="0" b="4445"/>
            <wp:docPr id="4" name="Рисунок 4" descr="Рис. 4. Бухгалтерская отчетность контраг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. Бухгалтерская отчетность контраген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68" cy="808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Бухгалтерская отчетность контрагента</w:t>
      </w:r>
    </w:p>
    <w:p w:rsidR="00FC088A" w:rsidRPr="00FC088A" w:rsidRDefault="00FC088A" w:rsidP="00FC088A">
      <w:pPr>
        <w:spacing w:after="75" w:line="240" w:lineRule="auto"/>
        <w:outlineLvl w:val="1"/>
        <w:rPr>
          <w:rFonts w:ascii="futura_pt_demi_reg" w:eastAsia="Times New Roman" w:hAnsi="futura_pt_demi_reg" w:cs="Times New Roman"/>
          <w:sz w:val="30"/>
          <w:szCs w:val="30"/>
          <w:lang w:eastAsia="ru-RU"/>
        </w:rPr>
      </w:pPr>
      <w:bookmarkStart w:id="5" w:name="briefly_44764"/>
      <w:bookmarkEnd w:id="5"/>
      <w:r w:rsidRPr="00FC088A">
        <w:rPr>
          <w:rFonts w:ascii="futura_pt_demi_reg" w:eastAsia="Times New Roman" w:hAnsi="futura_pt_demi_reg" w:cs="Times New Roman"/>
          <w:sz w:val="30"/>
          <w:szCs w:val="30"/>
          <w:lang w:eastAsia="ru-RU"/>
        </w:rPr>
        <w:t>Анализ бухгалтерской отчетности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 </w:t>
      </w: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отчетности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выводятся сводные показатели из бухгалтерской отчетности контрагента (выручка от продаж, прибыль, денежные средства, основные средства, запасы, чистые активы и т.д.). Показатели для анализа выводятся за три года (рис. 5). Представленная информация о финансовом состоянии контрагента понятна даже тем пользователям, которые не ведут и не знают 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бухгалтерский учет. Для бухгалтерской (финансовой) отчетности СО НКО сводные показатели не приводятся.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5175" cy="4039066"/>
            <wp:effectExtent l="0" t="0" r="0" b="0"/>
            <wp:docPr id="3" name="Рисунок 3" descr="Рис. 5. Анализ бухгалтерской отчетности контраг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5. Анализ бухгалтерской отчетности контраген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324" cy="404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5. Анализ бухгалтерской отчетности контрагента</w:t>
      </w:r>
    </w:p>
    <w:p w:rsidR="00FC088A" w:rsidRPr="00FC088A" w:rsidRDefault="00FC088A" w:rsidP="00FC088A">
      <w:pPr>
        <w:spacing w:after="75" w:line="240" w:lineRule="auto"/>
        <w:outlineLvl w:val="1"/>
        <w:rPr>
          <w:rFonts w:ascii="futura_pt_demi_reg" w:eastAsia="Times New Roman" w:hAnsi="futura_pt_demi_reg" w:cs="Times New Roman"/>
          <w:sz w:val="30"/>
          <w:szCs w:val="30"/>
          <w:lang w:eastAsia="ru-RU"/>
        </w:rPr>
      </w:pPr>
      <w:bookmarkStart w:id="6" w:name="briefly_44765"/>
      <w:bookmarkEnd w:id="6"/>
      <w:r w:rsidRPr="00FC088A">
        <w:rPr>
          <w:rFonts w:ascii="futura_pt_demi_reg" w:eastAsia="Times New Roman" w:hAnsi="futura_pt_demi_reg" w:cs="Times New Roman"/>
          <w:sz w:val="30"/>
          <w:szCs w:val="30"/>
          <w:lang w:eastAsia="ru-RU"/>
        </w:rPr>
        <w:t>Финансовый анализ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 </w:t>
      </w: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Финансовый анализ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выполняется финансовый анализ предприятия по данным бухгалтерской отчетности контрагента по четырем критериям (рис. 6):</w:t>
      </w:r>
    </w:p>
    <w:p w:rsidR="00FC088A" w:rsidRPr="00FC088A" w:rsidRDefault="00FC088A" w:rsidP="00FC08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риска банкротства;</w:t>
      </w:r>
    </w:p>
    <w:p w:rsidR="00FC088A" w:rsidRPr="00FC088A" w:rsidRDefault="00FC088A" w:rsidP="00FC08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Кредитоспособность;</w:t>
      </w:r>
    </w:p>
    <w:p w:rsidR="00FC088A" w:rsidRPr="00FC088A" w:rsidRDefault="00FC088A" w:rsidP="00FC08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Рентабельность активов;</w:t>
      </w:r>
    </w:p>
    <w:p w:rsidR="00FC088A" w:rsidRPr="00FC088A" w:rsidRDefault="00FC088A" w:rsidP="00FC08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Рентабельность продаж.</w:t>
      </w:r>
    </w:p>
    <w:p w:rsidR="00FC088A" w:rsidRPr="00FC088A" w:rsidRDefault="00FC088A" w:rsidP="00FC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77075" cy="8290541"/>
            <wp:effectExtent l="0" t="0" r="0" b="0"/>
            <wp:docPr id="2" name="Рисунок 2" descr="Рис. 6. Финансовый анализ предприятия контраг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. Финансовый анализ предприятия контраген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260" cy="82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6. Финансовый анализ предприятия контрагента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расшифровку расчета по каждому из критериев следует перейти по соответствующей гиперссылке </w:t>
      </w:r>
      <w:proofErr w:type="gramStart"/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proofErr w:type="gramEnd"/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расчет 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7).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риска банкротства контрагента оценивается по формулам Альтмана, предназначенным для компаний, акции которых не котируются на бирже:</w:t>
      </w:r>
    </w:p>
    <w:p w:rsidR="00FC088A" w:rsidRPr="00FC088A" w:rsidRDefault="00FC088A" w:rsidP="00FC08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производственных предприятий используется пятифакторная модель Альтмана;</w:t>
      </w:r>
    </w:p>
    <w:p w:rsidR="00FC088A" w:rsidRPr="00FC088A" w:rsidRDefault="00FC088A" w:rsidP="00FC08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непроизводственных предприятий используется четырехфакторная модель Альтмана.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предприятия (производственное или непроизводственное) автоматически определяется по основному ОКВЭД. Факторы (показатели) рассчитываются по данным бухгалтерской отчетности.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в какой диапазон значений попадает исчисленный индекс Альтмана Z, программа оценивает вероятность риска банкротства контрагента.</w:t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7075" cy="6282801"/>
            <wp:effectExtent l="0" t="0" r="0" b="3810"/>
            <wp:docPr id="1" name="Рисунок 1" descr="Рис. 7. Расшифровка расчета оценки риска банкро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7. Расшифровка расчета оценки риска банкротст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397" cy="62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8A" w:rsidRPr="00FC088A" w:rsidRDefault="00FC088A" w:rsidP="00FC088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7. Расшифровка расчета оценки риска банкротства</w:t>
      </w:r>
    </w:p>
    <w:p w:rsidR="00FC088A" w:rsidRPr="00FC088A" w:rsidRDefault="00FC088A" w:rsidP="00FC088A">
      <w:pPr>
        <w:spacing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кредитоспособности контрагента используется анализ отчетности по методике, утвержденной Комитетом Сбербанка России по предоставлению кредитов и инвестиций от 30 июня 2006 г. № 285-5-р. По данным отчетности определяются финансовые коэффициенты и рентабельность, а показатель кредитоспособности S рассчитывается по специальной формуле. В зависимости от того, в какой диапазон значений попадает исчисленный показатель S, программа оценивает кредитоспособность контрагента.</w:t>
      </w:r>
    </w:p>
    <w:p w:rsidR="00FC088A" w:rsidRPr="00FC088A" w:rsidRDefault="00FC088A" w:rsidP="00FC088A">
      <w:pPr>
        <w:spacing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 рентабельности по основному виду деятельности контрагента сравниваются со среднестатистической (для данной отрасли, то есть для основного ОКВЭД) рентабельностью продаж и рентабельностью активов. </w:t>
      </w:r>
    </w:p>
    <w:p w:rsidR="00FC088A" w:rsidRPr="00FC088A" w:rsidRDefault="00FC088A" w:rsidP="00FC088A">
      <w:pPr>
        <w:spacing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бухгалтерской отчетности СО НКО финансовый анализ в </w:t>
      </w:r>
      <w:r w:rsidRPr="00FC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Досье контрагента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выполняется, так как рассчитываемые критерии не применимы к такому виду отчетности.</w:t>
      </w:r>
    </w:p>
    <w:p w:rsidR="004E7DC2" w:rsidRDefault="00FC088A" w:rsidP="00FC088A">
      <w:r w:rsidRPr="00FC088A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  <w:r w:rsidRPr="00FC088A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  <w:r w:rsidRPr="00FC088A">
        <w:rPr>
          <w:rFonts w:ascii="Verdana" w:eastAsia="Times New Roman" w:hAnsi="Verdana" w:cs="Times New Roman"/>
          <w:color w:val="6B6B6B"/>
          <w:sz w:val="21"/>
          <w:szCs w:val="21"/>
          <w:shd w:val="clear" w:color="auto" w:fill="FFFFFF"/>
          <w:lang w:eastAsia="ru-RU"/>
        </w:rPr>
        <w:t>Источник: </w:t>
      </w:r>
      <w:hyperlink r:id="rId12" w:history="1">
        <w:r w:rsidRPr="00FC088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https://buh.ru/</w:t>
        </w:r>
      </w:hyperlink>
    </w:p>
    <w:sectPr w:rsidR="004E7DC2" w:rsidSect="00504DFA">
      <w:pgSz w:w="11906" w:h="16838"/>
      <w:pgMar w:top="720" w:right="56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_pt_demi_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5C3"/>
    <w:multiLevelType w:val="multilevel"/>
    <w:tmpl w:val="6AE0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B04FB"/>
    <w:multiLevelType w:val="multilevel"/>
    <w:tmpl w:val="80D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33C7E"/>
    <w:multiLevelType w:val="multilevel"/>
    <w:tmpl w:val="FFCE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67FED"/>
    <w:multiLevelType w:val="multilevel"/>
    <w:tmpl w:val="F9E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86F8E"/>
    <w:multiLevelType w:val="multilevel"/>
    <w:tmpl w:val="BC8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A"/>
    <w:rsid w:val="0045125A"/>
    <w:rsid w:val="004E7DC2"/>
    <w:rsid w:val="00504DFA"/>
    <w:rsid w:val="00F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297E-EB28-46F2-87EE-C674C1D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u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Быстрикова</dc:creator>
  <cp:keywords/>
  <dc:description/>
  <cp:lastModifiedBy>Анна Быстрикова</cp:lastModifiedBy>
  <cp:revision>3</cp:revision>
  <dcterms:created xsi:type="dcterms:W3CDTF">2019-09-26T05:49:00Z</dcterms:created>
  <dcterms:modified xsi:type="dcterms:W3CDTF">2019-09-26T06:31:00Z</dcterms:modified>
</cp:coreProperties>
</file>